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19" w:rsidRDefault="002324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657.6</w:t>
      </w:r>
    </w:p>
    <w:p w:rsidR="00234349" w:rsidRDefault="002343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19" w:rsidRDefault="00232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СУДЕБНО-БУХГАЛТЕРСКОЙ ЭКСПЕРТИЗЫ</w:t>
      </w:r>
    </w:p>
    <w:p w:rsidR="00234349" w:rsidRDefault="00234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19" w:rsidRDefault="002324DF">
      <w:pPr>
        <w:pStyle w:val="Default"/>
        <w:widowControl w:val="0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Елена Викторовна Лукина</w:t>
      </w:r>
      <w:r>
        <w:rPr>
          <w:sz w:val="28"/>
          <w:szCs w:val="28"/>
        </w:rPr>
        <w:t xml:space="preserve"> </w:t>
      </w:r>
    </w:p>
    <w:p w:rsidR="009C1E19" w:rsidRDefault="002324D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кандидат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экономических наук, доцент</w:t>
      </w:r>
    </w:p>
    <w:p w:rsidR="009C1E19" w:rsidRDefault="002324DF">
      <w:pPr>
        <w:pStyle w:val="Default"/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elevik.lukina@yandex.ru </w:t>
      </w:r>
    </w:p>
    <w:p w:rsidR="009C1E1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Сергей Иванович Хорошков</w:t>
      </w:r>
    </w:p>
    <w:p w:rsidR="009C1E19" w:rsidRDefault="002324DF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кандидат экономических наук, профессор </w:t>
      </w:r>
    </w:p>
    <w:p w:rsidR="009C1E19" w:rsidRDefault="007679D5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2324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khoroshkov56@mail.ru</w:t>
        </w:r>
      </w:hyperlink>
    </w:p>
    <w:p w:rsidR="009C1E19" w:rsidRDefault="002324DF">
      <w:pPr>
        <w:wordWrap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Александра Сергеевна Кириллова</w:t>
      </w:r>
    </w:p>
    <w:p w:rsidR="009C1E19" w:rsidRDefault="002343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</w:p>
    <w:p w:rsidR="009C1E1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alexandrakiri@mail.ru</w:t>
      </w:r>
    </w:p>
    <w:p w:rsidR="009C1E19" w:rsidRDefault="002324D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Мичуринский государственный аграрный университет</w:t>
      </w:r>
    </w:p>
    <w:p w:rsidR="009C1E19" w:rsidRDefault="002324DF">
      <w:pPr>
        <w:pStyle w:val="Default"/>
        <w:widowControl w:val="0"/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г. Мичуринск, Россия</w:t>
      </w:r>
    </w:p>
    <w:p w:rsidR="009C1E19" w:rsidRDefault="009C1E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19" w:rsidRDefault="0023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В статье дано определение судебно-бухгалтерской экспертизы и эксперта. Приведены законодательные и нормативные акты, которые являются основой для судебно-экспертной деятельности. Описаны права, обязанности и ответственность эксперта в соответствии с действующими законодательными актами РФ. Описаны особенности проведения судебно-бухгалтерской экспертизы.</w:t>
      </w:r>
    </w:p>
    <w:p w:rsidR="009C1E19" w:rsidRDefault="0023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судебно-бухгалтерская экспертиза, эксперт-бухгалтер, заключение эксперта-бухгалтера.</w:t>
      </w:r>
    </w:p>
    <w:p w:rsidR="009C1E19" w:rsidRDefault="002324DF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E19" w:rsidRDefault="002324D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Бухгалтерская экспертиза </w:t>
      </w:r>
      <w:r>
        <w:t>–</w:t>
      </w:r>
      <w:r>
        <w:rPr>
          <w:sz w:val="28"/>
          <w:szCs w:val="28"/>
        </w:rPr>
        <w:t xml:space="preserve"> наиболее распространенный род экспертизы из класса судебных экономических экспертиз. К судебной бухгалтерской экспертизе прибегали еще в начале XX века.</w:t>
      </w:r>
    </w:p>
    <w:p w:rsidR="009C1E19" w:rsidRDefault="002324DF">
      <w:pPr>
        <w:pStyle w:val="ac"/>
        <w:tabs>
          <w:tab w:val="left" w:pos="0"/>
        </w:tabs>
        <w:spacing w:after="0" w:line="360" w:lineRule="auto"/>
        <w:ind w:leftChars="7" w:left="15" w:right="230" w:firstLineChars="24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Судебно-бухгалтерская</w:t>
      </w:r>
      <w:r>
        <w:rPr>
          <w:rFonts w:ascii="Times New Roman" w:hAnsi="Times New Roman" w:cs="Times New Roman"/>
          <w:bCs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экспертиза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>
        <w:t>–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процессуальная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лица,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учетно-экономическими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(судом)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правильного решения дела.</w:t>
      </w:r>
    </w:p>
    <w:p w:rsidR="009C1E19" w:rsidRDefault="002324DF">
      <w:pPr>
        <w:pStyle w:val="1"/>
        <w:spacing w:line="360" w:lineRule="auto"/>
        <w:ind w:left="0" w:firstLineChars="235" w:firstLine="658"/>
        <w:rPr>
          <w:b w:val="0"/>
          <w:bCs w:val="0"/>
        </w:rPr>
      </w:pPr>
      <w:r>
        <w:rPr>
          <w:b w:val="0"/>
          <w:bCs w:val="0"/>
        </w:rPr>
        <w:t>Правовой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основой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судебно-экспертной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деятельности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являются: Закон</w:t>
      </w:r>
      <w:r>
        <w:rPr>
          <w:b w:val="0"/>
          <w:bCs w:val="0"/>
          <w:spacing w:val="24"/>
        </w:rPr>
        <w:t xml:space="preserve"> </w:t>
      </w:r>
      <w:r>
        <w:rPr>
          <w:b w:val="0"/>
          <w:bCs w:val="0"/>
        </w:rPr>
        <w:t>РФ</w:t>
      </w:r>
      <w:r>
        <w:rPr>
          <w:b w:val="0"/>
          <w:bCs w:val="0"/>
          <w:spacing w:val="22"/>
        </w:rPr>
        <w:t xml:space="preserve"> </w:t>
      </w:r>
      <w:r>
        <w:rPr>
          <w:b w:val="0"/>
          <w:bCs w:val="0"/>
        </w:rPr>
        <w:t>«О</w:t>
      </w:r>
      <w:r>
        <w:rPr>
          <w:b w:val="0"/>
          <w:bCs w:val="0"/>
          <w:spacing w:val="24"/>
        </w:rPr>
        <w:t xml:space="preserve"> </w:t>
      </w:r>
      <w:r>
        <w:rPr>
          <w:b w:val="0"/>
          <w:bCs w:val="0"/>
        </w:rPr>
        <w:t>государственной</w:t>
      </w:r>
      <w:r>
        <w:rPr>
          <w:b w:val="0"/>
          <w:bCs w:val="0"/>
          <w:spacing w:val="24"/>
        </w:rPr>
        <w:t xml:space="preserve"> </w:t>
      </w:r>
      <w:r>
        <w:rPr>
          <w:b w:val="0"/>
          <w:bCs w:val="0"/>
        </w:rPr>
        <w:t>судебно-экспертной</w:t>
      </w:r>
      <w:r>
        <w:rPr>
          <w:b w:val="0"/>
          <w:bCs w:val="0"/>
          <w:spacing w:val="25"/>
        </w:rPr>
        <w:t xml:space="preserve"> </w:t>
      </w:r>
      <w:r>
        <w:rPr>
          <w:b w:val="0"/>
          <w:bCs w:val="0"/>
        </w:rPr>
        <w:t>деятельности</w:t>
      </w:r>
      <w:r>
        <w:rPr>
          <w:b w:val="0"/>
          <w:bCs w:val="0"/>
          <w:spacing w:val="24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23"/>
        </w:rPr>
        <w:t xml:space="preserve"> </w:t>
      </w:r>
      <w:r>
        <w:rPr>
          <w:b w:val="0"/>
          <w:bCs w:val="0"/>
        </w:rPr>
        <w:t>РФ»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от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31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мая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2001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г.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№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73-ФЗ [1], Арбитражный процессуальный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кодекс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(АПК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РФ) от 24 июля 2002 г. № 95-ФЗ [2], Гражданский процессуальный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кодекс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(ГПК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РФ) от 14 ноября 2002 г. № 138-ФЗ [3], Кодекс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РФ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об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административных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правонарушениях</w:t>
      </w:r>
      <w:r>
        <w:rPr>
          <w:b w:val="0"/>
          <w:bCs w:val="0"/>
          <w:spacing w:val="67"/>
        </w:rPr>
        <w:t xml:space="preserve"> </w:t>
      </w:r>
      <w:r>
        <w:rPr>
          <w:b w:val="0"/>
          <w:bCs w:val="0"/>
        </w:rPr>
        <w:t>(КоАП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РФ)</w:t>
      </w:r>
      <w:r w:rsidR="00234349">
        <w:rPr>
          <w:b w:val="0"/>
          <w:bCs w:val="0"/>
        </w:rPr>
        <w:t xml:space="preserve"> </w:t>
      </w:r>
      <w:r>
        <w:rPr>
          <w:b w:val="0"/>
          <w:bCs w:val="0"/>
        </w:rPr>
        <w:t>от 30 декабря 2001 г. № 195-ФЗ [4], Уголовно-процессуальный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кодекс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(УПК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РФ) от 18 декабря 2001 г. № 174-ФЗ [5], Уголовный кодекс РФ (УК РФ) от 13 июня 1996 г. № 63-ФЗ [6].</w:t>
      </w:r>
    </w:p>
    <w:p w:rsidR="009C1E19" w:rsidRDefault="002324DF">
      <w:pPr>
        <w:pStyle w:val="a8"/>
        <w:spacing w:line="360" w:lineRule="auto"/>
        <w:ind w:left="0" w:right="230" w:firstLine="709"/>
        <w:rPr>
          <w:rFonts w:eastAsia="SimSun"/>
        </w:rPr>
      </w:pPr>
      <w:r>
        <w:rPr>
          <w:bCs/>
        </w:rPr>
        <w:t xml:space="preserve">В соответствии с </w:t>
      </w:r>
      <w:r>
        <w:t>Уголовно-процессуальным</w:t>
      </w:r>
      <w:r>
        <w:rPr>
          <w:spacing w:val="-4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 от 18 декабря 2001 г. № 174-ФЗ (статья 57 «Эксперт»)</w:t>
      </w:r>
      <w:r>
        <w:rPr>
          <w:bCs/>
        </w:rPr>
        <w:t xml:space="preserve"> э</w:t>
      </w:r>
      <w:r>
        <w:rPr>
          <w:rFonts w:eastAsia="SimSun"/>
        </w:rPr>
        <w:t xml:space="preserve">ксперт </w:t>
      </w:r>
      <w:r>
        <w:t>–</w:t>
      </w:r>
      <w:r>
        <w:rPr>
          <w:rFonts w:eastAsia="SimSun"/>
        </w:rPr>
        <w:t xml:space="preserve"> это лицо, обладающее специальными знаниями и назначенное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процессуальном</w:t>
      </w:r>
      <w:r>
        <w:rPr>
          <w:spacing w:val="1"/>
        </w:rPr>
        <w:t xml:space="preserve"> </w:t>
      </w:r>
      <w:r>
        <w:t xml:space="preserve">порядке </w:t>
      </w:r>
      <w:r>
        <w:rPr>
          <w:rFonts w:eastAsia="SimSun"/>
        </w:rPr>
        <w:t xml:space="preserve">для производства судебной экспертизы и дачи заключения </w:t>
      </w:r>
      <w:r>
        <w:t>[5]</w:t>
      </w:r>
      <w:r>
        <w:rPr>
          <w:rFonts w:eastAsia="SimSun"/>
        </w:rPr>
        <w:t>.</w:t>
      </w:r>
    </w:p>
    <w:p w:rsidR="009C1E19" w:rsidRDefault="002324D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эксперта, которые определены в Арбитражном процессуальном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кодексе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 (статья 55 «Эксперт»), Гражданском процессуальном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кодексе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 (статья 85 «Обязанности и права эксперта»), Кодексе РФ об административных правонарушениях (статья 25.9. «Эксперт»), Уголовно-процессуальном кодексе РФ (статья 57 «Эксперт»), а также ответственность эксперта, которая определена в</w:t>
      </w:r>
      <w:r w:rsidR="00234349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Уголовном кодексе РФ (статья 307 «Заведомо ложные показание, заключение эксперта, специалиста или неправильный перевод», статья 310 «Разглашение данных предварительного расследования»),</w:t>
      </w:r>
      <w:r w:rsidR="0023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 в таблице 1.</w:t>
      </w:r>
    </w:p>
    <w:p w:rsidR="009C1E19" w:rsidRDefault="009C1E19">
      <w:pPr>
        <w:pStyle w:val="aa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9C1E19" w:rsidRDefault="002324DF">
      <w:pPr>
        <w:pStyle w:val="aa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  <w:sz w:val="28"/>
          <w:szCs w:val="28"/>
        </w:rPr>
        <w:lastRenderedPageBreak/>
        <w:t>Т</w:t>
      </w:r>
      <w:r>
        <w:rPr>
          <w:i/>
          <w:iCs/>
        </w:rPr>
        <w:t xml:space="preserve">аблица 1 </w:t>
      </w:r>
    </w:p>
    <w:p w:rsidR="009C1E19" w:rsidRDefault="002324DF">
      <w:pPr>
        <w:pStyle w:val="aa"/>
        <w:spacing w:before="0" w:beforeAutospacing="0" w:after="0" w:afterAutospacing="0"/>
        <w:jc w:val="right"/>
      </w:pPr>
      <w:r>
        <w:t>Права, обязанности и ответственность эксперта при проведении судебной экспертизы</w:t>
      </w:r>
    </w:p>
    <w:tbl>
      <w:tblPr>
        <w:tblStyle w:val="ab"/>
        <w:tblW w:w="10306" w:type="dxa"/>
        <w:tblLayout w:type="fixed"/>
        <w:tblLook w:val="04A0" w:firstRow="1" w:lastRow="0" w:firstColumn="1" w:lastColumn="0" w:noHBand="0" w:noVBand="1"/>
      </w:tblPr>
      <w:tblGrid>
        <w:gridCol w:w="568"/>
        <w:gridCol w:w="2454"/>
        <w:gridCol w:w="2835"/>
        <w:gridCol w:w="2880"/>
        <w:gridCol w:w="1569"/>
      </w:tblGrid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Эксперт имеет право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 xml:space="preserve">Эксперт </w:t>
            </w:r>
          </w:p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не вправе</w:t>
            </w:r>
          </w:p>
        </w:tc>
        <w:tc>
          <w:tcPr>
            <w:tcW w:w="2880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Обязанности эксперта</w:t>
            </w:r>
          </w:p>
        </w:tc>
        <w:tc>
          <w:tcPr>
            <w:tcW w:w="1569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Ответственность эксперта</w:t>
            </w:r>
          </w:p>
        </w:tc>
      </w:tr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Знакомиться с материалами дела, относящимися к предмету экспертизы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Самостоятельно собирать материалы для проведения экспертизы</w:t>
            </w:r>
          </w:p>
        </w:tc>
        <w:tc>
          <w:tcPr>
            <w:tcW w:w="2880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Принять к производству порученную судом экспертизу и провести полное исследование представленных материалов и документов</w:t>
            </w:r>
          </w:p>
        </w:tc>
        <w:tc>
          <w:tcPr>
            <w:tcW w:w="1569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За разглашение данных предварительного расследования</w:t>
            </w:r>
            <w:r>
              <w:t xml:space="preserve"> </w:t>
            </w:r>
          </w:p>
        </w:tc>
      </w:tr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Ходатайствовать о предоставлении дополнительных материалов, необходимых для дачи заключения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Без ведома дознавателя, следователя и суда вести переговоры с участниками процесса по вопросам, связанным с производством судебной экспертизы</w:t>
            </w:r>
          </w:p>
        </w:tc>
        <w:tc>
          <w:tcPr>
            <w:tcW w:w="2880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 xml:space="preserve">Дать обоснованное и объективное заключение по поставленным вопросам, а </w:t>
            </w:r>
            <w:r>
              <w:rPr>
                <w:rFonts w:eastAsia="SimSun"/>
                <w:lang w:eastAsia="zh-CN" w:bidi="ar"/>
              </w:rPr>
              <w:t>также требуемые объяснения в связи с содержанием заключения</w:t>
            </w:r>
          </w:p>
        </w:tc>
        <w:tc>
          <w:tcPr>
            <w:tcW w:w="1569" w:type="dxa"/>
            <w:vMerge w:val="restart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За дачу заведомо ложного заключения</w:t>
            </w:r>
            <w:r w:rsidR="00234349">
              <w:rPr>
                <w:rFonts w:eastAsia="SimSun"/>
                <w:lang w:eastAsia="zh-CN" w:bidi="ar"/>
              </w:rPr>
              <w:t xml:space="preserve"> </w:t>
            </w:r>
          </w:p>
        </w:tc>
      </w:tr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Ходатайствовать о привлечении других экспертов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Разглашать сведения, которые стали известны эксперту в связи с проведением экспертизы, или сообщать кому-либо о результатах экспертизы</w:t>
            </w:r>
          </w:p>
        </w:tc>
        <w:tc>
          <w:tcPr>
            <w:tcW w:w="2880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Обеспечить сохранность представленных для исследования материалов и документов и возвратить их в суд вместе с заключением</w:t>
            </w:r>
          </w:p>
        </w:tc>
        <w:tc>
          <w:tcPr>
            <w:tcW w:w="1569" w:type="dxa"/>
            <w:vMerge/>
          </w:tcPr>
          <w:p w:rsidR="009C1E19" w:rsidRDefault="009C1E1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Участвовать в судебных заседаниях, задавать вопросы, относящиеся к предмету судебной экспертизы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  <w:rPr>
                <w:rFonts w:eastAsia="SimSun"/>
                <w:lang w:eastAsia="zh-CN" w:bidi="ar"/>
              </w:rPr>
            </w:pPr>
            <w:r>
              <w:rPr>
                <w:rFonts w:eastAsia="SimSun"/>
                <w:lang w:eastAsia="zh-CN" w:bidi="ar"/>
              </w:rPr>
              <w:t>Уклоняться от явки по вызовам дознавателя, следователя или в суд</w:t>
            </w:r>
          </w:p>
        </w:tc>
        <w:tc>
          <w:tcPr>
            <w:tcW w:w="2880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>Явиться по вызову суда для личного участия в судебном заседании и ответить на вопросы, связанные с проведенным исследованием и данным заключением</w:t>
            </w:r>
          </w:p>
        </w:tc>
        <w:tc>
          <w:tcPr>
            <w:tcW w:w="1569" w:type="dxa"/>
            <w:vMerge/>
          </w:tcPr>
          <w:p w:rsidR="009C1E19" w:rsidRDefault="009C1E1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9C1E19">
        <w:tc>
          <w:tcPr>
            <w:tcW w:w="568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454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t xml:space="preserve">Отказаться от дачи заключения по вопросам, выходящим за пределы специальных знаний, </w:t>
            </w:r>
            <w:r>
              <w:rPr>
                <w:rFonts w:eastAsia="SimSun"/>
                <w:lang w:eastAsia="zh-CN" w:bidi="ar"/>
              </w:rPr>
              <w:t>а также если представленные материалы недостаточны для дачи заключения</w:t>
            </w:r>
          </w:p>
        </w:tc>
        <w:tc>
          <w:tcPr>
            <w:tcW w:w="2835" w:type="dxa"/>
          </w:tcPr>
          <w:p w:rsidR="009C1E19" w:rsidRDefault="002324DF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SimSun"/>
                <w:lang w:eastAsia="zh-CN" w:bidi="ar"/>
              </w:rPr>
              <w:t>Давать заведомо ложное заключение</w:t>
            </w:r>
          </w:p>
        </w:tc>
        <w:tc>
          <w:tcPr>
            <w:tcW w:w="2880" w:type="dxa"/>
          </w:tcPr>
          <w:p w:rsidR="009C1E19" w:rsidRDefault="002324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Направить в суд, назначивший экспертизу, мотивированное сообщение в письменной форме о невозможности дать заключение </w:t>
            </w:r>
          </w:p>
          <w:p w:rsidR="009C1E19" w:rsidRDefault="009C1E19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1569" w:type="dxa"/>
            <w:vMerge/>
          </w:tcPr>
          <w:p w:rsidR="009C1E19" w:rsidRDefault="009C1E19">
            <w:pPr>
              <w:pStyle w:val="aa"/>
              <w:spacing w:before="0" w:beforeAutospacing="0" w:after="0" w:afterAutospacing="0"/>
              <w:jc w:val="both"/>
            </w:pPr>
          </w:p>
        </w:tc>
      </w:tr>
    </w:tbl>
    <w:p w:rsidR="009C1E19" w:rsidRDefault="009C1E1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1E19" w:rsidRDefault="002324DF">
      <w:pPr>
        <w:pStyle w:val="a8"/>
        <w:spacing w:line="360" w:lineRule="auto"/>
        <w:ind w:left="210" w:right="232" w:firstLine="539"/>
      </w:pPr>
      <w:r>
        <w:t>Судебно-бухгалтерская экспертиза имеет свои особенности проведения.</w:t>
      </w:r>
    </w:p>
    <w:p w:rsidR="009C1E19" w:rsidRDefault="002324DF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Судебно-бухгалтерская экспертиза может быть проведена в рамках гражданского, арбитражного или уголовного процесса.</w:t>
      </w:r>
    </w:p>
    <w:p w:rsidR="009C1E19" w:rsidRDefault="002324D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Судебно-бухгалтерскую экспертизу в гражданском и арбитражном процессах назначают по ходатайству участников процесса и по инициативе суда. Такая экспертиза может быть использована для разрешения споров, связанных с финансовыми обязательствами, распределением имущества, установлением размера ущерба и др.</w:t>
      </w:r>
    </w:p>
    <w:p w:rsidR="009C1E19" w:rsidRDefault="002324D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уголовного процесса судебно-бухгалтерская экспертиза назначается по инициативе следователя, но и участники уголовного дела (потерпевший и обвиняемый) могут ходатайствовать перед следователем о назначении судебно-бухгалтерской экспертизы. Такая экспертиза позволяет выявить наличие или отсутствие преступных действий, связанных с финансовыми манипуляциями, хищениями средств, уклонением от уплаты налогов и др. </w:t>
      </w:r>
    </w:p>
    <w:p w:rsidR="009C1E19" w:rsidRDefault="002324DF">
      <w:pPr>
        <w:pStyle w:val="TableParagraph"/>
        <w:numPr>
          <w:ilvl w:val="0"/>
          <w:numId w:val="1"/>
        </w:numPr>
        <w:tabs>
          <w:tab w:val="left" w:pos="2312"/>
          <w:tab w:val="left" w:pos="2668"/>
          <w:tab w:val="left" w:pos="3526"/>
        </w:tabs>
        <w:spacing w:line="360" w:lineRule="auto"/>
        <w:ind w:left="0" w:right="9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проведения судебно-бухгалтерской экспертизы </w:t>
      </w:r>
      <w:r>
        <w:rPr>
          <w:bCs/>
          <w:kern w:val="36"/>
          <w:sz w:val="28"/>
          <w:szCs w:val="28"/>
        </w:rPr>
        <w:t>–</w:t>
      </w:r>
      <w:r>
        <w:rPr>
          <w:sz w:val="28"/>
          <w:szCs w:val="28"/>
        </w:rPr>
        <w:t xml:space="preserve"> это установление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234349">
        <w:rPr>
          <w:sz w:val="28"/>
          <w:szCs w:val="28"/>
        </w:rPr>
        <w:t xml:space="preserve"> </w:t>
      </w:r>
      <w:r>
        <w:rPr>
          <w:sz w:val="28"/>
          <w:szCs w:val="28"/>
        </w:rPr>
        <w:t>(обстоятельств</w:t>
      </w:r>
      <w:r>
        <w:rPr>
          <w:sz w:val="28"/>
          <w:szCs w:val="28"/>
        </w:rPr>
        <w:tab/>
        <w:t>дела) для правильной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23434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</w:rPr>
        <w:tab/>
        <w:t xml:space="preserve">заключение специалиста. Судебно-бухгалтерская экспертиза позволяет выявить факты, которые могут быть скрыты или искажены, и обеспечить объективное рассмотрение дела на основе доказанных данных. </w:t>
      </w:r>
    </w:p>
    <w:p w:rsidR="009C1E19" w:rsidRDefault="002324DF">
      <w:pPr>
        <w:numPr>
          <w:ilvl w:val="0"/>
          <w:numId w:val="1"/>
        </w:numPr>
        <w:spacing w:after="0" w:line="36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(суд)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поручить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судебно-бухгалтерской экспертизы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экспертному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учреждению,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частному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обладающему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познаниями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аудиторской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аудитору).</w:t>
      </w:r>
    </w:p>
    <w:p w:rsidR="009C1E19" w:rsidRDefault="002324DF">
      <w:pPr>
        <w:numPr>
          <w:ilvl w:val="0"/>
          <w:numId w:val="1"/>
        </w:numPr>
        <w:spacing w:after="0" w:line="36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Эксперт-бухгалтер должен обладать глубокими знаниями в области бухгалтерского учета и налогообложения, финансов и аудита, уметь организовать свою деятельность как при самостоятельном проведении экспертизы, так и при необходимости работы в составе комиссии. Эксперту-бухгалтеру важно уметь применять специальные методики и стандарты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экспертизы, а также владение современными информационными технологиями. </w:t>
      </w:r>
    </w:p>
    <w:p w:rsidR="009C1E19" w:rsidRDefault="002324DF">
      <w:pPr>
        <w:numPr>
          <w:ilvl w:val="0"/>
          <w:numId w:val="1"/>
        </w:numPr>
        <w:spacing w:after="0" w:line="36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Эксперт-бухгалтер использует только те документы и материалы, которые находятся в гражданском, арбитражном или уголовном деле. В случае,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если предоставленных документов и материалов недостаточно для дачи заключения,</w:t>
      </w:r>
      <w:r>
        <w:rPr>
          <w:rFonts w:ascii="Times New Roman" w:eastAsia="SimSun" w:hAnsi="Times New Roman" w:cs="Times New Roman"/>
          <w:sz w:val="28"/>
          <w:szCs w:val="28"/>
        </w:rPr>
        <w:t xml:space="preserve"> э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ксперт обязан отказаться от дачи заключения.</w:t>
      </w:r>
    </w:p>
    <w:p w:rsidR="009C1E19" w:rsidRDefault="002324DF">
      <w:pPr>
        <w:pStyle w:val="1"/>
        <w:widowControl/>
        <w:numPr>
          <w:ilvl w:val="0"/>
          <w:numId w:val="1"/>
        </w:numPr>
        <w:spacing w:line="360" w:lineRule="auto"/>
        <w:ind w:left="0" w:firstLineChars="157" w:firstLine="440"/>
        <w:rPr>
          <w:rFonts w:eastAsia="SimSun"/>
          <w:b w:val="0"/>
          <w:lang w:eastAsia="zh-CN" w:bidi="ar"/>
        </w:rPr>
      </w:pPr>
      <w:r>
        <w:rPr>
          <w:rFonts w:eastAsia="SimSun"/>
          <w:b w:val="0"/>
          <w:lang w:eastAsia="zh-CN" w:bidi="ar"/>
        </w:rPr>
        <w:t xml:space="preserve">Объектами судебно-бухгалтерской экспертизы являются только документальные носители информации (первичные документы и учетные регистры, бухгалтерская отчетность), содержащие информацию о финансово-хозяйственных операциях и имущественном положении экономического субъекта, на основании которых производится судебно-экспертное исследование. </w:t>
      </w:r>
    </w:p>
    <w:p w:rsidR="009C1E19" w:rsidRDefault="002324DF">
      <w:pPr>
        <w:pStyle w:val="a8"/>
        <w:numPr>
          <w:ilvl w:val="0"/>
          <w:numId w:val="1"/>
        </w:numPr>
        <w:spacing w:line="360" w:lineRule="auto"/>
        <w:ind w:left="0" w:right="232" w:firstLineChars="157" w:firstLine="440"/>
      </w:pPr>
      <w:r>
        <w:t>В ходе проведения судебно-бухгалтерской экспертизы используются только приемы документального контроля, которые включают в себя: формальную и логическую проверку документов, арифметический пересчет, встречную и взаимную проверку документов, прослеживание учетных записей, проверку правильности корреспонденции бухгалтерских счетов. Эксперт-бухгалтер не имеет право использовать приемы фактического контроля (проведение инвентаризации, контрольные обмеры, наблюдение и др.) при проведении исследования.</w:t>
      </w:r>
    </w:p>
    <w:p w:rsidR="009C1E19" w:rsidRDefault="002324DF">
      <w:pPr>
        <w:pStyle w:val="aa"/>
        <w:numPr>
          <w:ilvl w:val="0"/>
          <w:numId w:val="1"/>
        </w:numPr>
        <w:spacing w:before="0" w:beforeAutospacing="0" w:afterAutospacing="0" w:line="36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судебно-бухгалтерской экспертизы </w:t>
      </w:r>
      <w:r>
        <w:rPr>
          <w:bCs/>
          <w:kern w:val="36"/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учреждениях, но может проводиться по месту нахождения бухгалтерской документации. </w:t>
      </w:r>
    </w:p>
    <w:p w:rsidR="009C1E19" w:rsidRDefault="002324DF">
      <w:pPr>
        <w:pStyle w:val="TableParagraph"/>
        <w:numPr>
          <w:ilvl w:val="0"/>
          <w:numId w:val="1"/>
        </w:numPr>
        <w:spacing w:line="360" w:lineRule="auto"/>
        <w:ind w:left="0" w:right="95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Эксперт-бухгалтер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1"/>
          <w:sz w:val="28"/>
          <w:szCs w:val="28"/>
        </w:rPr>
        <w:t xml:space="preserve"> судебного </w:t>
      </w:r>
      <w:r>
        <w:rPr>
          <w:sz w:val="28"/>
          <w:szCs w:val="28"/>
        </w:rPr>
        <w:t>процесса: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следователя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(суда)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обвиняемым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свидетелям.</w:t>
      </w:r>
    </w:p>
    <w:p w:rsidR="009C1E19" w:rsidRDefault="002324DF">
      <w:pPr>
        <w:numPr>
          <w:ilvl w:val="0"/>
          <w:numId w:val="1"/>
        </w:numPr>
        <w:spacing w:after="0" w:line="36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судебно-бухгалтерской экспертизы оформляются заключением эксперта-бухгалтера, которое является самостоятельным доказательством. Заключение должно быть четким, логичным и обоснованным, а также соответствовать требованиям законодательства. В заключении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отражаются выводы по результатам проведенной экспертизы. Заключение эксперта-бухгалтера служит важным доказательством для суда при принятии решения по делу. </w:t>
      </w:r>
    </w:p>
    <w:p w:rsidR="009C1E19" w:rsidRDefault="0023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судебно-бухгалтерская экспертиза представляет собой важное средство защиты прав и законных интересов сторон в судебных процессах, а также инструмент обеспечения справедливости и законности при разрешении юридических споров.</w:t>
      </w:r>
    </w:p>
    <w:p w:rsidR="009C1E19" w:rsidRDefault="009C1E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19" w:rsidRDefault="002324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34349">
        <w:rPr>
          <w:rFonts w:ascii="Times New Roman" w:hAnsi="Times New Roman" w:cs="Times New Roman"/>
          <w:b/>
          <w:sz w:val="28"/>
          <w:szCs w:val="28"/>
        </w:rPr>
        <w:t>:</w:t>
      </w:r>
    </w:p>
    <w:p w:rsidR="009C1E19" w:rsidRPr="00234349" w:rsidRDefault="002324DF" w:rsidP="00234349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 xml:space="preserve">Закон РФ «О государственной судебно-экспертной деятельности в Российской Федерации» от 31 мая 2001 г. № 73-ФЗ (с изменениями и дополнениями) // </w:t>
      </w:r>
      <w:r w:rsidR="00234349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ГАРАНТ. 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343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https://base.garant.ru/12123142/?ysclid=m3zm9on4gs110178399</w:t>
        </w:r>
      </w:hyperlink>
    </w:p>
    <w:p w:rsidR="009C1E19" w:rsidRPr="00234349" w:rsidRDefault="002324DF" w:rsidP="00234349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Арбитражный процессуальный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кодекс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РФ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(АПК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 xml:space="preserve">РФ) от 24 июля 2002 г. № 95-ФЗ (с изменениями и дополнениями) //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>
        <w:rPr>
          <w:rFonts w:ascii="Times New Roman" w:hAnsi="Times New Roman" w:cs="Times New Roman"/>
          <w:sz w:val="28"/>
          <w:szCs w:val="28"/>
        </w:rPr>
        <w:t xml:space="preserve">: </w:t>
      </w:r>
      <w:r w:rsidRPr="00234349">
        <w:rPr>
          <w:rFonts w:ascii="Times New Roman" w:hAnsi="Times New Roman" w:cs="Times New Roman"/>
          <w:sz w:val="28"/>
          <w:szCs w:val="28"/>
        </w:rPr>
        <w:t>https://www.consultant.ru/document/cons_doc_LAW_37800/?ysclid=m4117io9pl591172046</w:t>
      </w:r>
    </w:p>
    <w:p w:rsidR="009C1E19" w:rsidRPr="00234349" w:rsidRDefault="002324DF" w:rsidP="00234349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Гражданский процессуальный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кодекс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РФ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(ГПК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 xml:space="preserve">РФ) от 14 ноября 2002 г. № 138-ФЗ (с изменениями и дополнениями) //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343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https://www.consultant.ru/document/cons_doc_LAW_39570/?ysclid=m410eowbt1547002406</w:t>
        </w:r>
      </w:hyperlink>
    </w:p>
    <w:p w:rsidR="00234349" w:rsidRPr="00234349" w:rsidRDefault="002324DF" w:rsidP="00234349">
      <w:pPr>
        <w:keepLines/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(КоАП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РФ) от 30 декабря 2001 г. № 195-ФЗ (с изменениям</w:t>
      </w:r>
      <w:r w:rsidR="00234349">
        <w:rPr>
          <w:rFonts w:ascii="Times New Roman" w:hAnsi="Times New Roman" w:cs="Times New Roman"/>
          <w:sz w:val="28"/>
          <w:szCs w:val="28"/>
        </w:rPr>
        <w:t xml:space="preserve">и и дополнениями) </w:t>
      </w:r>
      <w:r w:rsidRPr="00234349">
        <w:rPr>
          <w:rFonts w:ascii="Times New Roman" w:hAnsi="Times New Roman" w:cs="Times New Roman"/>
          <w:sz w:val="28"/>
          <w:szCs w:val="28"/>
        </w:rPr>
        <w:t>//</w:t>
      </w:r>
      <w:r w:rsidR="0023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</w:t>
      </w:r>
      <w:r w:rsidR="00234349" w:rsidRPr="00234349">
        <w:rPr>
          <w:rFonts w:ascii="Times New Roman" w:hAnsi="Times New Roman" w:cs="Times New Roman"/>
          <w:sz w:val="28"/>
          <w:szCs w:val="28"/>
        </w:rPr>
        <w:t xml:space="preserve">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 w:rsidRPr="00234349">
        <w:rPr>
          <w:rFonts w:ascii="Times New Roman" w:hAnsi="Times New Roman" w:cs="Times New Roman"/>
          <w:sz w:val="28"/>
          <w:szCs w:val="28"/>
        </w:rPr>
        <w:t xml:space="preserve">: 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4349">
        <w:rPr>
          <w:rFonts w:ascii="Times New Roman" w:hAnsi="Times New Roman" w:cs="Times New Roman"/>
          <w:sz w:val="28"/>
          <w:szCs w:val="28"/>
        </w:rPr>
        <w:t>://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34349">
        <w:rPr>
          <w:rFonts w:ascii="Times New Roman" w:hAnsi="Times New Roman" w:cs="Times New Roman"/>
          <w:sz w:val="28"/>
          <w:szCs w:val="28"/>
        </w:rPr>
        <w:t>.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2343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43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4349">
        <w:rPr>
          <w:rFonts w:ascii="Times New Roman" w:hAnsi="Times New Roman" w:cs="Times New Roman"/>
          <w:sz w:val="28"/>
          <w:szCs w:val="28"/>
        </w:rPr>
        <w:t>/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234349">
        <w:rPr>
          <w:rFonts w:ascii="Times New Roman" w:hAnsi="Times New Roman" w:cs="Times New Roman"/>
          <w:sz w:val="28"/>
          <w:szCs w:val="28"/>
        </w:rPr>
        <w:t>/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234349">
        <w:rPr>
          <w:rFonts w:ascii="Times New Roman" w:hAnsi="Times New Roman" w:cs="Times New Roman"/>
          <w:sz w:val="28"/>
          <w:szCs w:val="28"/>
        </w:rPr>
        <w:t>_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34349">
        <w:rPr>
          <w:rFonts w:ascii="Times New Roman" w:hAnsi="Times New Roman" w:cs="Times New Roman"/>
          <w:sz w:val="28"/>
          <w:szCs w:val="28"/>
        </w:rPr>
        <w:t>_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234349">
        <w:rPr>
          <w:rFonts w:ascii="Times New Roman" w:hAnsi="Times New Roman" w:cs="Times New Roman"/>
          <w:sz w:val="28"/>
          <w:szCs w:val="28"/>
        </w:rPr>
        <w:t>_34661/?</w:t>
      </w:r>
      <w:proofErr w:type="spellStart"/>
      <w:r w:rsidRPr="00234349">
        <w:rPr>
          <w:rFonts w:ascii="Times New Roman" w:hAnsi="Times New Roman" w:cs="Times New Roman"/>
          <w:sz w:val="28"/>
          <w:szCs w:val="28"/>
          <w:lang w:val="en-US"/>
        </w:rPr>
        <w:t>ysclid</w:t>
      </w:r>
      <w:proofErr w:type="spellEnd"/>
      <w:r w:rsidRPr="00234349">
        <w:rPr>
          <w:rFonts w:ascii="Times New Roman" w:hAnsi="Times New Roman" w:cs="Times New Roman"/>
          <w:sz w:val="28"/>
          <w:szCs w:val="28"/>
        </w:rPr>
        <w:t>=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34349">
        <w:rPr>
          <w:rFonts w:ascii="Times New Roman" w:hAnsi="Times New Roman" w:cs="Times New Roman"/>
          <w:sz w:val="28"/>
          <w:szCs w:val="28"/>
        </w:rPr>
        <w:t>411</w:t>
      </w:r>
      <w:r w:rsidRPr="002343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4349">
        <w:rPr>
          <w:rFonts w:ascii="Times New Roman" w:hAnsi="Times New Roman" w:cs="Times New Roman"/>
          <w:sz w:val="28"/>
          <w:szCs w:val="28"/>
        </w:rPr>
        <w:t>01</w:t>
      </w:r>
      <w:proofErr w:type="spellStart"/>
      <w:r w:rsidRPr="00234349">
        <w:rPr>
          <w:rFonts w:ascii="Times New Roman" w:hAnsi="Times New Roman" w:cs="Times New Roman"/>
          <w:sz w:val="28"/>
          <w:szCs w:val="28"/>
          <w:lang w:val="en-US"/>
        </w:rPr>
        <w:t>vy</w:t>
      </w:r>
      <w:proofErr w:type="spellEnd"/>
      <w:r w:rsidRPr="00234349">
        <w:rPr>
          <w:rFonts w:ascii="Times New Roman" w:hAnsi="Times New Roman" w:cs="Times New Roman"/>
          <w:sz w:val="28"/>
          <w:szCs w:val="28"/>
        </w:rPr>
        <w:t>2326844031</w:t>
      </w:r>
    </w:p>
    <w:p w:rsidR="009C1E19" w:rsidRPr="00234349" w:rsidRDefault="002324DF" w:rsidP="00234349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Уголовно-процессуальный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кодекс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РФ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(УПК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 xml:space="preserve">РФ) от 18 декабря 2001 г. № 174-ФЗ (с изменениями и дополнениями) //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3434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https://www.consultant.ru/document/cons_doc_LAW_34481/d0b93b9efd7992e9c908d2f19ca2be028d14bd62/?ysclid=m3zuyqx4sw651398259</w:t>
        </w:r>
      </w:hyperlink>
    </w:p>
    <w:p w:rsidR="009C1E19" w:rsidRPr="00234349" w:rsidRDefault="002324DF" w:rsidP="00234349">
      <w:pPr>
        <w:numPr>
          <w:ilvl w:val="0"/>
          <w:numId w:val="2"/>
        </w:num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Уголовный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кодекс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РФ</w:t>
      </w:r>
      <w:r w:rsidRPr="002343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>(УК</w:t>
      </w:r>
      <w:r w:rsidRPr="002343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4349">
        <w:rPr>
          <w:rFonts w:ascii="Times New Roman" w:hAnsi="Times New Roman" w:cs="Times New Roman"/>
          <w:sz w:val="28"/>
          <w:szCs w:val="28"/>
        </w:rPr>
        <w:t xml:space="preserve">РФ) от 13 июня 1996 г. № 63-ФЗ (с изменениями и дополнениями) //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– 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4349">
        <w:rPr>
          <w:rFonts w:ascii="Times New Roman" w:hAnsi="Times New Roman" w:cs="Times New Roman"/>
          <w:sz w:val="28"/>
          <w:szCs w:val="28"/>
        </w:rPr>
        <w:t xml:space="preserve">: </w:t>
      </w:r>
      <w:r w:rsidRPr="00234349">
        <w:rPr>
          <w:rFonts w:ascii="Times New Roman" w:hAnsi="Times New Roman" w:cs="Times New Roman"/>
          <w:sz w:val="28"/>
          <w:szCs w:val="28"/>
        </w:rPr>
        <w:t>https://www.consultant.ru/document/cons_doc_LAW_10699/?ysclid=m5aqit7cyk630795956</w:t>
      </w:r>
    </w:p>
    <w:p w:rsidR="009C1E19" w:rsidRPr="00234349" w:rsidRDefault="002324DF" w:rsidP="0023434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>7. Лукина Е.В. Аудит: теория и практика: учебное пособие для вузов /</w:t>
      </w:r>
      <w:r w:rsidR="00234349">
        <w:rPr>
          <w:rFonts w:ascii="Times New Roman" w:hAnsi="Times New Roman" w:cs="Times New Roman"/>
          <w:sz w:val="28"/>
          <w:szCs w:val="28"/>
        </w:rPr>
        <w:t xml:space="preserve">/ 2-е изд., </w:t>
      </w:r>
      <w:proofErr w:type="spellStart"/>
      <w:r w:rsidR="002343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34349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234349">
        <w:rPr>
          <w:rFonts w:ascii="Times New Roman" w:hAnsi="Times New Roman" w:cs="Times New Roman"/>
          <w:sz w:val="28"/>
          <w:szCs w:val="28"/>
        </w:rPr>
        <w:t>Санкт-Петербург: Лань</w:t>
      </w:r>
      <w:r w:rsidR="00234349">
        <w:rPr>
          <w:rFonts w:ascii="Times New Roman" w:hAnsi="Times New Roman" w:cs="Times New Roman"/>
          <w:sz w:val="28"/>
          <w:szCs w:val="28"/>
        </w:rPr>
        <w:t xml:space="preserve">. 2023. </w:t>
      </w:r>
      <w:r w:rsidRPr="00234349">
        <w:rPr>
          <w:rFonts w:ascii="Times New Roman" w:hAnsi="Times New Roman" w:cs="Times New Roman"/>
          <w:sz w:val="28"/>
          <w:szCs w:val="28"/>
        </w:rPr>
        <w:t xml:space="preserve">208 с. </w:t>
      </w:r>
    </w:p>
    <w:p w:rsidR="009C1E19" w:rsidRPr="007679D5" w:rsidRDefault="002324DF" w:rsidP="002343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49">
        <w:rPr>
          <w:rFonts w:ascii="Times New Roman" w:hAnsi="Times New Roman" w:cs="Times New Roman"/>
          <w:sz w:val="28"/>
          <w:szCs w:val="28"/>
        </w:rPr>
        <w:t xml:space="preserve">8. Хорошков С.И., </w:t>
      </w:r>
      <w:proofErr w:type="spellStart"/>
      <w:r w:rsidRPr="00234349">
        <w:rPr>
          <w:rFonts w:ascii="Times New Roman" w:hAnsi="Times New Roman" w:cs="Times New Roman"/>
          <w:sz w:val="28"/>
          <w:szCs w:val="28"/>
        </w:rPr>
        <w:t>Фецкович</w:t>
      </w:r>
      <w:proofErr w:type="spellEnd"/>
      <w:r w:rsidRPr="00234349">
        <w:rPr>
          <w:rFonts w:ascii="Times New Roman" w:hAnsi="Times New Roman" w:cs="Times New Roman"/>
          <w:sz w:val="28"/>
          <w:szCs w:val="28"/>
        </w:rPr>
        <w:t xml:space="preserve"> И.В., Коноплева С.С. Применение информационных технологий «1С» при подготовке кадров цифровой экономики</w:t>
      </w:r>
      <w:r w:rsidR="00234349">
        <w:rPr>
          <w:rFonts w:ascii="Times New Roman" w:hAnsi="Times New Roman" w:cs="Times New Roman"/>
          <w:sz w:val="28"/>
          <w:szCs w:val="28"/>
        </w:rPr>
        <w:t xml:space="preserve"> // </w:t>
      </w:r>
      <w:r w:rsidRPr="00234349">
        <w:rPr>
          <w:rFonts w:ascii="Times New Roman" w:hAnsi="Times New Roman" w:cs="Times New Roman"/>
          <w:sz w:val="28"/>
          <w:szCs w:val="28"/>
        </w:rPr>
        <w:t>Сборник научных трудов 18-й международной научно-практической конференции «Новые информационные технологии в образовании» (Применение технологий «1С» для развития компетенций цифровой экономики) 30-31 января 2018 г. /Под общ. ред. проф. Д.В. Чистова. Часть</w:t>
      </w:r>
      <w:r w:rsidR="00234349" w:rsidRPr="007679D5">
        <w:rPr>
          <w:rFonts w:ascii="Times New Roman" w:hAnsi="Times New Roman" w:cs="Times New Roman"/>
          <w:sz w:val="28"/>
          <w:szCs w:val="28"/>
        </w:rPr>
        <w:t xml:space="preserve"> 1. </w:t>
      </w:r>
      <w:r w:rsidRPr="00234349">
        <w:rPr>
          <w:rFonts w:ascii="Times New Roman" w:hAnsi="Times New Roman" w:cs="Times New Roman"/>
          <w:sz w:val="28"/>
          <w:szCs w:val="28"/>
        </w:rPr>
        <w:t>М</w:t>
      </w:r>
      <w:r w:rsidRPr="007679D5">
        <w:rPr>
          <w:rFonts w:ascii="Times New Roman" w:hAnsi="Times New Roman" w:cs="Times New Roman"/>
          <w:sz w:val="28"/>
          <w:szCs w:val="28"/>
        </w:rPr>
        <w:t xml:space="preserve">.: </w:t>
      </w:r>
      <w:r w:rsidRPr="00234349">
        <w:rPr>
          <w:rFonts w:ascii="Times New Roman" w:hAnsi="Times New Roman" w:cs="Times New Roman"/>
          <w:sz w:val="28"/>
          <w:szCs w:val="28"/>
        </w:rPr>
        <w:t>ООО</w:t>
      </w:r>
      <w:r w:rsidRPr="007679D5">
        <w:rPr>
          <w:rFonts w:ascii="Times New Roman" w:hAnsi="Times New Roman" w:cs="Times New Roman"/>
          <w:sz w:val="28"/>
          <w:szCs w:val="28"/>
        </w:rPr>
        <w:t xml:space="preserve"> «1</w:t>
      </w:r>
      <w:r w:rsidRPr="00234349">
        <w:rPr>
          <w:rFonts w:ascii="Times New Roman" w:hAnsi="Times New Roman" w:cs="Times New Roman"/>
          <w:sz w:val="28"/>
          <w:szCs w:val="28"/>
        </w:rPr>
        <w:t>С</w:t>
      </w:r>
      <w:r w:rsidRPr="007679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4349">
        <w:rPr>
          <w:rFonts w:ascii="Times New Roman" w:hAnsi="Times New Roman" w:cs="Times New Roman"/>
          <w:sz w:val="28"/>
          <w:szCs w:val="28"/>
        </w:rPr>
        <w:t>Паблишин</w:t>
      </w:r>
      <w:proofErr w:type="spellEnd"/>
      <w:r w:rsidRPr="007679D5">
        <w:rPr>
          <w:rFonts w:ascii="Times New Roman" w:hAnsi="Times New Roman" w:cs="Times New Roman"/>
          <w:sz w:val="28"/>
          <w:szCs w:val="28"/>
        </w:rPr>
        <w:t xml:space="preserve">», 2018. </w:t>
      </w:r>
      <w:r w:rsidRPr="00234349">
        <w:rPr>
          <w:rFonts w:ascii="Times New Roman" w:hAnsi="Times New Roman" w:cs="Times New Roman"/>
          <w:sz w:val="28"/>
          <w:szCs w:val="28"/>
        </w:rPr>
        <w:t>С</w:t>
      </w:r>
      <w:r w:rsidRPr="007679D5">
        <w:rPr>
          <w:rFonts w:ascii="Times New Roman" w:hAnsi="Times New Roman" w:cs="Times New Roman"/>
          <w:sz w:val="28"/>
          <w:szCs w:val="28"/>
        </w:rPr>
        <w:t>. 252-254.</w:t>
      </w:r>
      <w:r w:rsidRPr="007679D5">
        <w:rPr>
          <w:rFonts w:ascii="Times New Roman" w:hAnsi="Times New Roman" w:cs="Times New Roman"/>
          <w:sz w:val="28"/>
          <w:szCs w:val="28"/>
        </w:rPr>
        <w:br/>
      </w:r>
    </w:p>
    <w:p w:rsidR="009C1E19" w:rsidRPr="007679D5" w:rsidRDefault="002324D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UDC</w:t>
      </w:r>
      <w:r w:rsidRPr="007679D5">
        <w:rPr>
          <w:rFonts w:ascii="Times New Roman" w:hAnsi="Times New Roman" w:cs="Times New Roman"/>
          <w:b/>
          <w:sz w:val="28"/>
          <w:szCs w:val="28"/>
        </w:rPr>
        <w:t xml:space="preserve"> 657.6</w:t>
      </w:r>
    </w:p>
    <w:p w:rsidR="00234349" w:rsidRPr="007679D5" w:rsidRDefault="0023434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C1E19" w:rsidRDefault="002324DF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4349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FEATURES OF CONDUCTING A FORENSIC ACCOUNTING EXAMINATION</w:t>
      </w:r>
    </w:p>
    <w:p w:rsidR="009C1E19" w:rsidRDefault="009C1E19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1E19" w:rsidRDefault="002324D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Elena 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Lukina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4349" w:rsidRDefault="00234349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4349">
        <w:rPr>
          <w:rFonts w:ascii="Times New Roman" w:hAnsi="Times New Roman" w:cs="Times New Roman"/>
          <w:sz w:val="28"/>
          <w:szCs w:val="28"/>
          <w:lang w:val="en-US"/>
        </w:rPr>
        <w:t>candidate</w:t>
      </w:r>
      <w:proofErr w:type="gramEnd"/>
      <w:r w:rsidRPr="00234349">
        <w:rPr>
          <w:rFonts w:ascii="Times New Roman" w:hAnsi="Times New Roman" w:cs="Times New Roman"/>
          <w:sz w:val="28"/>
          <w:szCs w:val="28"/>
          <w:lang w:val="en-US"/>
        </w:rPr>
        <w:t xml:space="preserve"> of economic sciences, associate professor</w:t>
      </w:r>
    </w:p>
    <w:p w:rsidR="009C1E19" w:rsidRDefault="007679D5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7679D5">
        <w:rPr>
          <w:lang w:val="en-US"/>
        </w:rPr>
        <w:instrText xml:space="preserve"> HYPERLINK "mailto:elevik.lukina@yandex.ru" </w:instrText>
      </w:r>
      <w:r>
        <w:fldChar w:fldCharType="separate"/>
      </w:r>
      <w:r w:rsidR="002324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elevik.lukina@yandex.ru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9C1E19" w:rsidRPr="00234349" w:rsidRDefault="002324DF">
      <w:pPr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  <w:r w:rsidRPr="00234349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 xml:space="preserve">Sergey I. </w:t>
      </w:r>
      <w:proofErr w:type="spellStart"/>
      <w:r w:rsidRPr="00234349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Khoroshkov</w:t>
      </w:r>
      <w:proofErr w:type="spellEnd"/>
    </w:p>
    <w:p w:rsidR="002324DF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24DF">
        <w:rPr>
          <w:rFonts w:ascii="Times New Roman" w:hAnsi="Times New Roman" w:cs="Times New Roman"/>
          <w:sz w:val="28"/>
          <w:szCs w:val="28"/>
          <w:lang w:val="en-US"/>
        </w:rPr>
        <w:t>candidate</w:t>
      </w:r>
      <w:proofErr w:type="gramEnd"/>
      <w:r w:rsidRPr="002324DF">
        <w:rPr>
          <w:rFonts w:ascii="Times New Roman" w:hAnsi="Times New Roman" w:cs="Times New Roman"/>
          <w:sz w:val="28"/>
          <w:szCs w:val="28"/>
          <w:lang w:val="en-US"/>
        </w:rPr>
        <w:t xml:space="preserve"> of economic sciences, professor</w:t>
      </w:r>
    </w:p>
    <w:p w:rsidR="009C1E19" w:rsidRPr="00234349" w:rsidRDefault="007679D5">
      <w:pPr>
        <w:spacing w:after="0" w:line="360" w:lineRule="auto"/>
        <w:ind w:firstLine="709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fldChar w:fldCharType="begin"/>
      </w:r>
      <w:r w:rsidRPr="007679D5">
        <w:rPr>
          <w:lang w:val="en-US"/>
        </w:rPr>
        <w:instrText xml:space="preserve"> HYPERLINK "mailto:khoroshkov56@mail.ru" </w:instrText>
      </w:r>
      <w:r>
        <w:fldChar w:fldCharType="separate"/>
      </w:r>
      <w:r w:rsidR="002324DF" w:rsidRPr="0023434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khoroshkov56@mail.ru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9C1E1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4349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 xml:space="preserve">Alexandra S. </w:t>
      </w:r>
      <w:proofErr w:type="spellStart"/>
      <w:r w:rsidRPr="00234349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Kirillova</w:t>
      </w:r>
      <w:proofErr w:type="spellEnd"/>
    </w:p>
    <w:p w:rsidR="009C1E19" w:rsidRDefault="0023434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</w:p>
    <w:p w:rsidR="009C1E19" w:rsidRPr="0023434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4349">
        <w:rPr>
          <w:rFonts w:ascii="Times New Roman" w:hAnsi="Times New Roman" w:cs="Times New Roman"/>
          <w:sz w:val="28"/>
          <w:szCs w:val="28"/>
          <w:lang w:val="en-US"/>
        </w:rPr>
        <w:t>alexandrakiri@mail.ru</w:t>
      </w:r>
    </w:p>
    <w:p w:rsidR="009C1E1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</w:t>
      </w:r>
      <w:r w:rsidR="00234349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State Agrarian University</w:t>
      </w:r>
    </w:p>
    <w:p w:rsidR="009C1E19" w:rsidRDefault="002324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:rsidR="009C1E19" w:rsidRDefault="009C1E19">
      <w:pPr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</w:p>
    <w:p w:rsidR="009C1E19" w:rsidRDefault="002324DF" w:rsidP="002324D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23434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434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The article defines a forensic accounting examination and an expert. The legislative and regulatory acts that are the basis for forensic expertise are given. The rights, duties and responsibilities of the expert </w:t>
      </w:r>
      <w:proofErr w:type="gramStart"/>
      <w:r w:rsidRPr="00234349">
        <w:rPr>
          <w:rFonts w:ascii="Times New Roman" w:eastAsia="SimSun" w:hAnsi="Times New Roman" w:cs="Times New Roman"/>
          <w:sz w:val="28"/>
          <w:szCs w:val="28"/>
          <w:lang w:val="en-US"/>
        </w:rPr>
        <w:t>are described</w:t>
      </w:r>
      <w:proofErr w:type="gramEnd"/>
      <w:r w:rsidRPr="00234349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in accordance with the current legislative acts of the Russian Federation. The features of conducting a forensic accounting examination </w:t>
      </w:r>
      <w:proofErr w:type="gramStart"/>
      <w:r w:rsidRPr="00234349">
        <w:rPr>
          <w:rFonts w:ascii="Times New Roman" w:eastAsia="SimSun" w:hAnsi="Times New Roman" w:cs="Times New Roman"/>
          <w:sz w:val="28"/>
          <w:szCs w:val="28"/>
          <w:lang w:val="en-US"/>
        </w:rPr>
        <w:t>are described</w:t>
      </w:r>
      <w:proofErr w:type="gramEnd"/>
      <w:r w:rsidRPr="00234349">
        <w:rPr>
          <w:rFonts w:ascii="Times New Roman" w:eastAsia="SimSun" w:hAnsi="Times New Roman" w:cs="Times New Roman"/>
          <w:sz w:val="28"/>
          <w:szCs w:val="28"/>
          <w:lang w:val="en-US"/>
        </w:rPr>
        <w:t>.</w:t>
      </w:r>
    </w:p>
    <w:p w:rsidR="009C1E19" w:rsidRPr="00234349" w:rsidRDefault="002324DF" w:rsidP="0023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forensic accounting examination, expert accountant, expert accountant's report.</w:t>
      </w:r>
    </w:p>
    <w:p w:rsidR="009C1E19" w:rsidRDefault="009C1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1E19" w:rsidRDefault="009C1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1E19" w:rsidRDefault="009C1E1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C1E19" w:rsidRDefault="009C1E19">
      <w:pPr>
        <w:pStyle w:val="a8"/>
        <w:spacing w:line="360" w:lineRule="auto"/>
        <w:ind w:left="210" w:right="232" w:firstLine="539"/>
        <w:rPr>
          <w:lang w:val="en-US"/>
        </w:rPr>
      </w:pPr>
    </w:p>
    <w:p w:rsidR="009C1E19" w:rsidRDefault="009C1E19">
      <w:pPr>
        <w:pStyle w:val="a8"/>
        <w:tabs>
          <w:tab w:val="left" w:pos="2243"/>
          <w:tab w:val="left" w:pos="3378"/>
          <w:tab w:val="left" w:pos="4244"/>
          <w:tab w:val="left" w:pos="5783"/>
          <w:tab w:val="left" w:pos="7622"/>
          <w:tab w:val="left" w:pos="8072"/>
          <w:tab w:val="left" w:pos="9219"/>
          <w:tab w:val="left" w:pos="9600"/>
        </w:tabs>
        <w:spacing w:line="360" w:lineRule="auto"/>
        <w:ind w:right="233"/>
        <w:rPr>
          <w:lang w:val="en-US"/>
        </w:rPr>
      </w:pPr>
    </w:p>
    <w:p w:rsidR="009C1E19" w:rsidRDefault="009C1E1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C1E19" w:rsidSect="007679D5">
      <w:headerReference w:type="default" r:id="rId12"/>
      <w:footerReference w:type="default" r:id="rId13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9" w:rsidRDefault="002324DF">
      <w:pPr>
        <w:spacing w:line="240" w:lineRule="auto"/>
      </w:pPr>
      <w:r>
        <w:separator/>
      </w:r>
    </w:p>
  </w:endnote>
  <w:endnote w:type="continuationSeparator" w:id="0">
    <w:p w:rsidR="009C1E19" w:rsidRDefault="0023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19" w:rsidRDefault="009C1E19">
    <w:pPr>
      <w:pStyle w:val="a8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9" w:rsidRDefault="002324DF">
      <w:pPr>
        <w:spacing w:after="0"/>
      </w:pPr>
      <w:r>
        <w:separator/>
      </w:r>
    </w:p>
  </w:footnote>
  <w:footnote w:type="continuationSeparator" w:id="0">
    <w:p w:rsidR="009C1E19" w:rsidRDefault="002324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9D5" w:rsidRPr="009C3ECC" w:rsidRDefault="007679D5">
    <w:pPr>
      <w:pStyle w:val="ad"/>
      <w:rPr>
        <w:rFonts w:ascii="Times New Roman" w:hAnsi="Times New Roman"/>
        <w:b/>
        <w:i/>
        <w:kern w:val="2"/>
        <w:sz w:val="24"/>
      </w:rPr>
    </w:pPr>
    <w:r>
      <w:rPr>
        <w:rFonts w:ascii="Times New Roman" w:hAnsi="Times New Roman"/>
        <w:b/>
        <w:i/>
        <w:kern w:val="2"/>
        <w:sz w:val="24"/>
      </w:rPr>
      <w:t xml:space="preserve">  Наука и Образование. Том 7. № 4</w:t>
    </w:r>
    <w:r w:rsidRPr="0037497B">
      <w:rPr>
        <w:rFonts w:ascii="Times New Roman" w:hAnsi="Times New Roman"/>
        <w:b/>
        <w:i/>
        <w:kern w:val="2"/>
        <w:sz w:val="24"/>
      </w:rPr>
      <w:t>. 2024</w: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274320</wp:posOffset>
              </wp:positionV>
              <wp:extent cx="720090" cy="170815"/>
              <wp:effectExtent l="0" t="0" r="381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081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9D5" w:rsidRPr="00CB01F0" w:rsidRDefault="007679D5" w:rsidP="00CA408A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21.6pt;width:56.7pt;height:13.45pt;z-index:25165977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" o:allowincell="f" fillcolor="#a9d18e" stroked="f">
              <v:textbox style="mso-fit-shape-to-text:t" inset=",0,,0">
                <w:txbxContent>
                  <w:p w:rsidR="007679D5" w:rsidRPr="00CB01F0" w:rsidRDefault="007679D5" w:rsidP="00CA408A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97B">
      <w:rPr>
        <w:rFonts w:ascii="Times New Roman" w:hAnsi="Times New Roman"/>
        <w:b/>
        <w:i/>
        <w:kern w:val="2"/>
        <w:sz w:val="24"/>
      </w:rPr>
      <w:t xml:space="preserve"> / </w:t>
    </w:r>
    <w:r>
      <w:rPr>
        <w:rFonts w:ascii="Times New Roman" w:hAnsi="Times New Roman"/>
        <w:b/>
        <w:i/>
        <w:kern w:val="2"/>
        <w:sz w:val="24"/>
      </w:rPr>
      <w:t>Мастерская публикаций</w:t>
    </w:r>
  </w:p>
  <w:p w:rsidR="007679D5" w:rsidRDefault="007679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CE402E"/>
    <w:multiLevelType w:val="singleLevel"/>
    <w:tmpl w:val="C7CE402E"/>
    <w:lvl w:ilvl="0">
      <w:start w:val="1"/>
      <w:numFmt w:val="decimal"/>
      <w:suff w:val="space"/>
      <w:lvlText w:val="%1."/>
      <w:lvlJc w:val="left"/>
    </w:lvl>
  </w:abstractNum>
  <w:abstractNum w:abstractNumId="1">
    <w:nsid w:val="D8391FD3"/>
    <w:multiLevelType w:val="singleLevel"/>
    <w:tmpl w:val="D8391FD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D"/>
    <w:rsid w:val="00002DDC"/>
    <w:rsid w:val="00004A3E"/>
    <w:rsid w:val="00022A64"/>
    <w:rsid w:val="00023B51"/>
    <w:rsid w:val="00052B4B"/>
    <w:rsid w:val="00081A98"/>
    <w:rsid w:val="000E6D1C"/>
    <w:rsid w:val="00103977"/>
    <w:rsid w:val="00104C31"/>
    <w:rsid w:val="001239A8"/>
    <w:rsid w:val="00137744"/>
    <w:rsid w:val="00161844"/>
    <w:rsid w:val="001678EB"/>
    <w:rsid w:val="00177672"/>
    <w:rsid w:val="00193D15"/>
    <w:rsid w:val="001B2744"/>
    <w:rsid w:val="00224F7C"/>
    <w:rsid w:val="002324DF"/>
    <w:rsid w:val="00234349"/>
    <w:rsid w:val="00244E09"/>
    <w:rsid w:val="00272E9F"/>
    <w:rsid w:val="002921FC"/>
    <w:rsid w:val="00293221"/>
    <w:rsid w:val="00295DC4"/>
    <w:rsid w:val="002A01B4"/>
    <w:rsid w:val="002A64BF"/>
    <w:rsid w:val="002B08DE"/>
    <w:rsid w:val="002B1DDF"/>
    <w:rsid w:val="002C727C"/>
    <w:rsid w:val="00304525"/>
    <w:rsid w:val="00313757"/>
    <w:rsid w:val="00320386"/>
    <w:rsid w:val="00364A8F"/>
    <w:rsid w:val="00381DBD"/>
    <w:rsid w:val="004052D5"/>
    <w:rsid w:val="004A0F98"/>
    <w:rsid w:val="004C76CF"/>
    <w:rsid w:val="004D31EF"/>
    <w:rsid w:val="004E680B"/>
    <w:rsid w:val="00503B9E"/>
    <w:rsid w:val="005077C7"/>
    <w:rsid w:val="00512CC6"/>
    <w:rsid w:val="00516DC0"/>
    <w:rsid w:val="0053023C"/>
    <w:rsid w:val="00540324"/>
    <w:rsid w:val="005B5FD8"/>
    <w:rsid w:val="005E64F3"/>
    <w:rsid w:val="00622AB9"/>
    <w:rsid w:val="006316C4"/>
    <w:rsid w:val="00641921"/>
    <w:rsid w:val="006566E7"/>
    <w:rsid w:val="00657654"/>
    <w:rsid w:val="00676555"/>
    <w:rsid w:val="006A74F5"/>
    <w:rsid w:val="006C1F25"/>
    <w:rsid w:val="006D1001"/>
    <w:rsid w:val="006F4461"/>
    <w:rsid w:val="007071E4"/>
    <w:rsid w:val="00743D4E"/>
    <w:rsid w:val="00747186"/>
    <w:rsid w:val="007679D5"/>
    <w:rsid w:val="008124D7"/>
    <w:rsid w:val="00850A32"/>
    <w:rsid w:val="00857597"/>
    <w:rsid w:val="00887935"/>
    <w:rsid w:val="008A39ED"/>
    <w:rsid w:val="008A5E4C"/>
    <w:rsid w:val="008C0EAB"/>
    <w:rsid w:val="00903A64"/>
    <w:rsid w:val="009048DD"/>
    <w:rsid w:val="009442E5"/>
    <w:rsid w:val="0095626E"/>
    <w:rsid w:val="009613EB"/>
    <w:rsid w:val="00967CFE"/>
    <w:rsid w:val="00984626"/>
    <w:rsid w:val="00992915"/>
    <w:rsid w:val="009B3195"/>
    <w:rsid w:val="009C1E19"/>
    <w:rsid w:val="00A44B66"/>
    <w:rsid w:val="00A47371"/>
    <w:rsid w:val="00A513E0"/>
    <w:rsid w:val="00A736C2"/>
    <w:rsid w:val="00A775BD"/>
    <w:rsid w:val="00A80637"/>
    <w:rsid w:val="00AE5994"/>
    <w:rsid w:val="00B14D16"/>
    <w:rsid w:val="00B212AE"/>
    <w:rsid w:val="00B41BD5"/>
    <w:rsid w:val="00B47EA6"/>
    <w:rsid w:val="00B7316E"/>
    <w:rsid w:val="00B80FC0"/>
    <w:rsid w:val="00BD16C9"/>
    <w:rsid w:val="00C377EA"/>
    <w:rsid w:val="00C61540"/>
    <w:rsid w:val="00C73216"/>
    <w:rsid w:val="00CA0417"/>
    <w:rsid w:val="00CB6E66"/>
    <w:rsid w:val="00CC4860"/>
    <w:rsid w:val="00CF1E6A"/>
    <w:rsid w:val="00CF3FF8"/>
    <w:rsid w:val="00D355F4"/>
    <w:rsid w:val="00D63E1D"/>
    <w:rsid w:val="00DB2F58"/>
    <w:rsid w:val="00DF7AB4"/>
    <w:rsid w:val="00E1415F"/>
    <w:rsid w:val="00E73F1A"/>
    <w:rsid w:val="00E81321"/>
    <w:rsid w:val="00EA4F5C"/>
    <w:rsid w:val="00EB5901"/>
    <w:rsid w:val="00EF527E"/>
    <w:rsid w:val="00EF6429"/>
    <w:rsid w:val="00F01597"/>
    <w:rsid w:val="00F026CD"/>
    <w:rsid w:val="00F02E85"/>
    <w:rsid w:val="00F137A0"/>
    <w:rsid w:val="00F31CA5"/>
    <w:rsid w:val="00F606FE"/>
    <w:rsid w:val="00F6367A"/>
    <w:rsid w:val="00F73218"/>
    <w:rsid w:val="00FA1295"/>
    <w:rsid w:val="00FA72BB"/>
    <w:rsid w:val="00FB17E6"/>
    <w:rsid w:val="00FE49E5"/>
    <w:rsid w:val="017607F3"/>
    <w:rsid w:val="01C10941"/>
    <w:rsid w:val="01FD45E9"/>
    <w:rsid w:val="021567F9"/>
    <w:rsid w:val="02862A4B"/>
    <w:rsid w:val="055600FC"/>
    <w:rsid w:val="08720AB9"/>
    <w:rsid w:val="09A22E34"/>
    <w:rsid w:val="0A2D1EE3"/>
    <w:rsid w:val="0AC05BE1"/>
    <w:rsid w:val="0B580AD5"/>
    <w:rsid w:val="0CC27359"/>
    <w:rsid w:val="0EE955EB"/>
    <w:rsid w:val="0F4A5C7C"/>
    <w:rsid w:val="10597387"/>
    <w:rsid w:val="108315AD"/>
    <w:rsid w:val="10F13254"/>
    <w:rsid w:val="11916E6B"/>
    <w:rsid w:val="11E4174C"/>
    <w:rsid w:val="13AE1D39"/>
    <w:rsid w:val="14792B86"/>
    <w:rsid w:val="156564B1"/>
    <w:rsid w:val="160E193B"/>
    <w:rsid w:val="16F3633A"/>
    <w:rsid w:val="17173A55"/>
    <w:rsid w:val="17A356DC"/>
    <w:rsid w:val="193835E2"/>
    <w:rsid w:val="19594B38"/>
    <w:rsid w:val="199450F9"/>
    <w:rsid w:val="1AB15F15"/>
    <w:rsid w:val="1B530B41"/>
    <w:rsid w:val="1BE27B27"/>
    <w:rsid w:val="1D471BB3"/>
    <w:rsid w:val="1D773AAF"/>
    <w:rsid w:val="1DF616B1"/>
    <w:rsid w:val="1E260C45"/>
    <w:rsid w:val="20633B36"/>
    <w:rsid w:val="20F879A7"/>
    <w:rsid w:val="21705A23"/>
    <w:rsid w:val="221122AB"/>
    <w:rsid w:val="2265138C"/>
    <w:rsid w:val="226F41CA"/>
    <w:rsid w:val="227D2D14"/>
    <w:rsid w:val="23191E78"/>
    <w:rsid w:val="239E7B17"/>
    <w:rsid w:val="24ED5F34"/>
    <w:rsid w:val="28243568"/>
    <w:rsid w:val="282F3137"/>
    <w:rsid w:val="28E56443"/>
    <w:rsid w:val="290A60E3"/>
    <w:rsid w:val="294E48D6"/>
    <w:rsid w:val="2956295F"/>
    <w:rsid w:val="2A4A3E73"/>
    <w:rsid w:val="2B5126A9"/>
    <w:rsid w:val="2BD51A79"/>
    <w:rsid w:val="2C434774"/>
    <w:rsid w:val="2C882A37"/>
    <w:rsid w:val="2CBE74F9"/>
    <w:rsid w:val="2D031593"/>
    <w:rsid w:val="2D052EB7"/>
    <w:rsid w:val="2D4E7C2E"/>
    <w:rsid w:val="2D987795"/>
    <w:rsid w:val="2E4E0A8F"/>
    <w:rsid w:val="2F411C62"/>
    <w:rsid w:val="2FA45F37"/>
    <w:rsid w:val="318B231A"/>
    <w:rsid w:val="32A974A8"/>
    <w:rsid w:val="34CA1AAC"/>
    <w:rsid w:val="369313C7"/>
    <w:rsid w:val="36DB2704"/>
    <w:rsid w:val="37541F7C"/>
    <w:rsid w:val="37B62757"/>
    <w:rsid w:val="389D0C7A"/>
    <w:rsid w:val="38D3227A"/>
    <w:rsid w:val="39207436"/>
    <w:rsid w:val="399C7D0F"/>
    <w:rsid w:val="39D36356"/>
    <w:rsid w:val="3AEA0D04"/>
    <w:rsid w:val="3B76457D"/>
    <w:rsid w:val="3B9226E4"/>
    <w:rsid w:val="3BC91006"/>
    <w:rsid w:val="3CA21D29"/>
    <w:rsid w:val="3DFC136C"/>
    <w:rsid w:val="3E7F1936"/>
    <w:rsid w:val="3EA813B3"/>
    <w:rsid w:val="3F3B4A4E"/>
    <w:rsid w:val="3F5B2FBE"/>
    <w:rsid w:val="40540E36"/>
    <w:rsid w:val="4451013A"/>
    <w:rsid w:val="449C37D4"/>
    <w:rsid w:val="452F3907"/>
    <w:rsid w:val="46512483"/>
    <w:rsid w:val="474916C6"/>
    <w:rsid w:val="475477C3"/>
    <w:rsid w:val="49F125AE"/>
    <w:rsid w:val="4E507A62"/>
    <w:rsid w:val="4E6C3EA4"/>
    <w:rsid w:val="4E7613C9"/>
    <w:rsid w:val="4F8C55FB"/>
    <w:rsid w:val="507C51B5"/>
    <w:rsid w:val="51627812"/>
    <w:rsid w:val="516B757E"/>
    <w:rsid w:val="53D61D1B"/>
    <w:rsid w:val="5416672D"/>
    <w:rsid w:val="576A67DC"/>
    <w:rsid w:val="58021BB8"/>
    <w:rsid w:val="580279A7"/>
    <w:rsid w:val="58A23677"/>
    <w:rsid w:val="5A104F79"/>
    <w:rsid w:val="5A3217FC"/>
    <w:rsid w:val="5ACD1BB7"/>
    <w:rsid w:val="5E936592"/>
    <w:rsid w:val="619C01E2"/>
    <w:rsid w:val="623F4FB1"/>
    <w:rsid w:val="62AD0C74"/>
    <w:rsid w:val="631A6A3E"/>
    <w:rsid w:val="632379EE"/>
    <w:rsid w:val="63BD05A6"/>
    <w:rsid w:val="63E12D58"/>
    <w:rsid w:val="64184643"/>
    <w:rsid w:val="65906BCC"/>
    <w:rsid w:val="663A5CF9"/>
    <w:rsid w:val="66AA3373"/>
    <w:rsid w:val="68693F23"/>
    <w:rsid w:val="692326D3"/>
    <w:rsid w:val="695A19D6"/>
    <w:rsid w:val="6ABC11E2"/>
    <w:rsid w:val="6AF66EF0"/>
    <w:rsid w:val="6B8B54FC"/>
    <w:rsid w:val="6BE11AF5"/>
    <w:rsid w:val="6C066E0E"/>
    <w:rsid w:val="6CD35796"/>
    <w:rsid w:val="6E2F0E19"/>
    <w:rsid w:val="6F1C43D6"/>
    <w:rsid w:val="70A62D92"/>
    <w:rsid w:val="713C791F"/>
    <w:rsid w:val="714F3E25"/>
    <w:rsid w:val="717E14F4"/>
    <w:rsid w:val="7184004C"/>
    <w:rsid w:val="7272205D"/>
    <w:rsid w:val="75B70683"/>
    <w:rsid w:val="766C02BD"/>
    <w:rsid w:val="781D3BA5"/>
    <w:rsid w:val="7AD93184"/>
    <w:rsid w:val="7AE52C2E"/>
    <w:rsid w:val="7B421097"/>
    <w:rsid w:val="7C1F350C"/>
    <w:rsid w:val="7EAF734F"/>
    <w:rsid w:val="7ECF114F"/>
    <w:rsid w:val="7FCC29A3"/>
    <w:rsid w:val="7FD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4F90D607-C2F4-4502-A6C6-B7E528F4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319" w:lineRule="exact"/>
      <w:ind w:left="75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  <w:ind w:left="212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hAnsi="Consolas" w:cs="Consolas"/>
      <w:sz w:val="20"/>
      <w:szCs w:val="20"/>
    </w:rPr>
  </w:style>
  <w:style w:type="character" w:customStyle="1" w:styleId="markedcontent">
    <w:name w:val="markedcontent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3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43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3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43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roshkov56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4481/d0b93b9efd7992e9c908d2f19ca2be028d14bd62/?ysclid=m3zuyqx4sw6513982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9570/?ysclid=m410eowbt1547002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3142/?ysclid=m3zm9on4gs1101783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Волокитина Л.В.</cp:lastModifiedBy>
  <cp:revision>61</cp:revision>
  <cp:lastPrinted>2024-04-20T14:13:00Z</cp:lastPrinted>
  <dcterms:created xsi:type="dcterms:W3CDTF">2024-04-26T09:40:00Z</dcterms:created>
  <dcterms:modified xsi:type="dcterms:W3CDTF">2025-01-10T08:08:00Z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D51F3E08498E4823B888AC5AE31D41D7_12</vt:lpwstr>
  </property>
</Properties>
</file>